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D" w:rsidRPr="00E82E91" w:rsidRDefault="00EA11FC" w:rsidP="00E82E9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E91">
        <w:rPr>
          <w:rFonts w:ascii="Arial" w:hAnsi="Arial" w:cs="Arial"/>
          <w:b/>
          <w:sz w:val="22"/>
          <w:szCs w:val="22"/>
        </w:rPr>
        <w:t>Πρόγραμμα Σπουδών</w:t>
      </w:r>
    </w:p>
    <w:p w:rsidR="00EC3857" w:rsidRPr="00E82E91" w:rsidRDefault="00EC3857" w:rsidP="001B1F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47686" w:rsidRPr="00E82E91" w:rsidRDefault="00EA11FC" w:rsidP="00E82E91">
      <w:pPr>
        <w:pStyle w:val="2"/>
        <w:spacing w:line="360" w:lineRule="auto"/>
        <w:jc w:val="both"/>
        <w:rPr>
          <w:rFonts w:ascii="Arial" w:hAnsi="Arial" w:cs="Arial"/>
          <w:b w:val="0"/>
          <w:sz w:val="22"/>
          <w:szCs w:val="22"/>
          <w:u w:val="none"/>
          <w:lang w:val="el-GR"/>
        </w:rPr>
      </w:pPr>
      <w:r w:rsidRPr="00E82E91">
        <w:rPr>
          <w:rFonts w:ascii="Arial" w:hAnsi="Arial" w:cs="Arial"/>
          <w:b w:val="0"/>
          <w:sz w:val="22"/>
          <w:szCs w:val="22"/>
          <w:u w:val="none"/>
          <w:lang w:val="el-GR"/>
        </w:rPr>
        <w:t xml:space="preserve">Τα μαθήματα, η διδακτική και ερευνητική απασχόληση, τα εργαστήρια και οι κάθε άλλου είδους εκπαιδευτικές και ερευνητικές δραστηριότητες για την απονομή του Μεταπτυχιακού Διπλώματος Ειδίκευσης, καθορίζονται ως εξής: </w:t>
      </w:r>
    </w:p>
    <w:p w:rsidR="008579DF" w:rsidRPr="00E82E91" w:rsidRDefault="008579DF" w:rsidP="00E82E91">
      <w:pPr>
        <w:pStyle w:val="2"/>
        <w:spacing w:line="360" w:lineRule="auto"/>
        <w:jc w:val="both"/>
        <w:rPr>
          <w:rFonts w:ascii="Arial" w:hAnsi="Arial" w:cs="Arial"/>
          <w:b w:val="0"/>
          <w:sz w:val="22"/>
          <w:szCs w:val="22"/>
          <w:u w:val="none"/>
          <w:lang w:val="el-GR"/>
        </w:rPr>
      </w:pPr>
    </w:p>
    <w:tbl>
      <w:tblPr>
        <w:tblW w:w="0" w:type="auto"/>
        <w:jc w:val="center"/>
        <w:tblInd w:w="-2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532"/>
        <w:gridCol w:w="1701"/>
        <w:gridCol w:w="813"/>
      </w:tblGrid>
      <w:tr w:rsidR="00947686" w:rsidRPr="00E82E91" w:rsidTr="001B1F44">
        <w:trPr>
          <w:jc w:val="center"/>
        </w:trPr>
        <w:tc>
          <w:tcPr>
            <w:tcW w:w="10046" w:type="dxa"/>
            <w:gridSpan w:val="3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Α΄ Εξάμηνο 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 xml:space="preserve">Υποχρεωτικά </w:t>
            </w:r>
            <w:r w:rsidR="00947686" w:rsidRPr="00E82E91">
              <w:rPr>
                <w:rFonts w:ascii="Arial" w:hAnsi="Arial" w:cs="Arial"/>
                <w:b/>
                <w:sz w:val="22"/>
                <w:szCs w:val="22"/>
              </w:rPr>
              <w:t xml:space="preserve">Μαθήματα 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Διδ. Ώρες/   ανά εβδομάδα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Μεταβολισμός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Φυσιολογία – Παθοφυσιολογία σακχαρώδους διαβήτη και παχυσαρκίας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 xml:space="preserve">Διαγνωστικά κριτήρια – Κλινική  εικόνα  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tabs>
                <w:tab w:val="left" w:pos="5080"/>
              </w:tabs>
              <w:spacing w:before="120" w:after="120" w:line="360" w:lineRule="auto"/>
              <w:ind w:left="-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Θεραπευτική αντιμετώπιση σακχαρώδους διαβήτη και παχυσαρκίας Α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tabs>
                <w:tab w:val="left" w:pos="5080"/>
              </w:tabs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  <w:tcBorders>
              <w:bottom w:val="single" w:sz="4" w:space="0" w:color="auto"/>
            </w:tcBorders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 xml:space="preserve">Σύνολο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E82E91" w:rsidRPr="00E82E91" w:rsidTr="001B1F44">
        <w:trPr>
          <w:jc w:val="center"/>
        </w:trPr>
        <w:tc>
          <w:tcPr>
            <w:tcW w:w="10046" w:type="dxa"/>
            <w:gridSpan w:val="3"/>
            <w:shd w:val="clear" w:color="auto" w:fill="auto"/>
          </w:tcPr>
          <w:p w:rsidR="00E82E91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7686" w:rsidRPr="00E82E91" w:rsidTr="001B1F44">
        <w:trPr>
          <w:jc w:val="center"/>
        </w:trPr>
        <w:tc>
          <w:tcPr>
            <w:tcW w:w="10046" w:type="dxa"/>
            <w:gridSpan w:val="3"/>
            <w:shd w:val="clear" w:color="auto" w:fill="auto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  <w:u w:val="single"/>
              </w:rPr>
              <w:t>Β΄ Εξάμηνο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 xml:space="preserve">Υποχρεωτικά </w:t>
            </w:r>
            <w:r w:rsidR="00947686" w:rsidRPr="00E82E91">
              <w:rPr>
                <w:rFonts w:ascii="Arial" w:hAnsi="Arial" w:cs="Arial"/>
                <w:b/>
                <w:sz w:val="22"/>
                <w:szCs w:val="22"/>
              </w:rPr>
              <w:t xml:space="preserve">Μαθήματα 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Διδ. Ώρες/   ανά εβδομάδα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Θεραπευτική αντιμετώπιση σακχαρώδους διαβήτη και παχυσαρκίας Β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Επιπλοκές σακχαρώδους διαβήτη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  <w:tcBorders>
              <w:bottom w:val="single" w:sz="4" w:space="0" w:color="auto"/>
            </w:tcBorders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 xml:space="preserve">Σύνολο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E82E91" w:rsidRPr="00E82E91" w:rsidTr="001B1F44">
        <w:trPr>
          <w:jc w:val="center"/>
        </w:trPr>
        <w:tc>
          <w:tcPr>
            <w:tcW w:w="10046" w:type="dxa"/>
            <w:gridSpan w:val="3"/>
            <w:shd w:val="clear" w:color="auto" w:fill="auto"/>
          </w:tcPr>
          <w:p w:rsidR="00E82E91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7686" w:rsidRPr="00E82E91" w:rsidTr="001B1F44">
        <w:trPr>
          <w:jc w:val="center"/>
        </w:trPr>
        <w:tc>
          <w:tcPr>
            <w:tcW w:w="10046" w:type="dxa"/>
            <w:gridSpan w:val="3"/>
            <w:shd w:val="clear" w:color="auto" w:fill="auto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  <w:u w:val="single"/>
              </w:rPr>
              <w:t>Γ΄ Εξάμηνο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 xml:space="preserve">Υποχρεωτικά </w:t>
            </w:r>
            <w:r w:rsidR="00947686" w:rsidRPr="00E82E91">
              <w:rPr>
                <w:rFonts w:ascii="Arial" w:hAnsi="Arial" w:cs="Arial"/>
                <w:b/>
                <w:sz w:val="22"/>
                <w:szCs w:val="22"/>
              </w:rPr>
              <w:t xml:space="preserve">Μαθήματα 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Διδ. Ώρες/   ανά εβδομάδα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Μεθοδολογία έρευνας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</w:tcPr>
          <w:p w:rsidR="00947686" w:rsidRPr="00E82E91" w:rsidRDefault="00947686" w:rsidP="00E82E91">
            <w:pPr>
              <w:pStyle w:val="2"/>
              <w:spacing w:before="120" w:after="120" w:line="360" w:lineRule="auto"/>
              <w:jc w:val="both"/>
              <w:rPr>
                <w:rFonts w:ascii="Arial" w:hAnsi="Arial" w:cs="Arial"/>
                <w:b w:val="0"/>
                <w:sz w:val="22"/>
                <w:szCs w:val="22"/>
                <w:u w:val="none"/>
                <w:lang w:val="el-GR"/>
              </w:rPr>
            </w:pPr>
            <w:r w:rsidRPr="00E82E91">
              <w:rPr>
                <w:rFonts w:ascii="Arial" w:hAnsi="Arial" w:cs="Arial"/>
                <w:b w:val="0"/>
                <w:sz w:val="22"/>
                <w:szCs w:val="22"/>
                <w:u w:val="none"/>
                <w:lang w:val="el-GR"/>
              </w:rPr>
              <w:t>Πρακτική εξάσκηση: τακτικά εξωτερικά διαβητολογικά ιατρεία, ιατρεία διαβητικού ποδιού, ιατρεία παχυσαρκίας</w:t>
            </w:r>
          </w:p>
        </w:tc>
        <w:tc>
          <w:tcPr>
            <w:tcW w:w="1701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4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47686" w:rsidRPr="00E82E91" w:rsidTr="001B1F44">
        <w:trPr>
          <w:jc w:val="center"/>
        </w:trPr>
        <w:tc>
          <w:tcPr>
            <w:tcW w:w="7532" w:type="dxa"/>
            <w:tcBorders>
              <w:bottom w:val="single" w:sz="4" w:space="0" w:color="auto"/>
            </w:tcBorders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Σύνολο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E82E91" w:rsidRPr="00E82E91" w:rsidTr="001B1F44">
        <w:trPr>
          <w:jc w:val="center"/>
        </w:trPr>
        <w:tc>
          <w:tcPr>
            <w:tcW w:w="10046" w:type="dxa"/>
            <w:gridSpan w:val="3"/>
          </w:tcPr>
          <w:p w:rsidR="00E82E91" w:rsidRPr="00E82E91" w:rsidRDefault="00E82E91" w:rsidP="00E82E91">
            <w:pPr>
              <w:spacing w:before="120" w:after="120" w:line="360" w:lineRule="auto"/>
              <w:ind w:left="-14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47686" w:rsidRPr="00E82E91" w:rsidTr="001B1F44">
        <w:trPr>
          <w:jc w:val="center"/>
        </w:trPr>
        <w:tc>
          <w:tcPr>
            <w:tcW w:w="10046" w:type="dxa"/>
            <w:gridSpan w:val="3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Δ΄ Εξάμηνο </w:t>
            </w:r>
          </w:p>
        </w:tc>
      </w:tr>
      <w:tr w:rsidR="00947686" w:rsidRPr="00E82E91" w:rsidTr="001B1F44">
        <w:trPr>
          <w:jc w:val="center"/>
        </w:trPr>
        <w:tc>
          <w:tcPr>
            <w:tcW w:w="9233" w:type="dxa"/>
            <w:gridSpan w:val="2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ECTS</w:t>
            </w:r>
          </w:p>
        </w:tc>
      </w:tr>
      <w:tr w:rsidR="00947686" w:rsidRPr="00E82E91" w:rsidTr="001B1F44">
        <w:trPr>
          <w:jc w:val="center"/>
        </w:trPr>
        <w:tc>
          <w:tcPr>
            <w:tcW w:w="9233" w:type="dxa"/>
            <w:gridSpan w:val="2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Εκπόνηση μεταπτυχιακής διπλωματικής εργασίας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947686" w:rsidRPr="00E82E91" w:rsidTr="001B1F44">
        <w:trPr>
          <w:jc w:val="center"/>
        </w:trPr>
        <w:tc>
          <w:tcPr>
            <w:tcW w:w="9233" w:type="dxa"/>
            <w:gridSpan w:val="2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Σύνολο</w:t>
            </w:r>
          </w:p>
        </w:tc>
        <w:tc>
          <w:tcPr>
            <w:tcW w:w="813" w:type="dxa"/>
            <w:vAlign w:val="center"/>
          </w:tcPr>
          <w:p w:rsidR="00947686" w:rsidRPr="00E82E91" w:rsidRDefault="00947686" w:rsidP="00E82E91">
            <w:pPr>
              <w:spacing w:before="120" w:after="120" w:line="360" w:lineRule="auto"/>
              <w:ind w:left="-11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E91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</w:tbl>
    <w:p w:rsidR="00EA11FC" w:rsidRPr="00E82E91" w:rsidRDefault="00EA11FC" w:rsidP="00E82E91">
      <w:pPr>
        <w:pStyle w:val="2"/>
        <w:spacing w:line="360" w:lineRule="auto"/>
        <w:jc w:val="both"/>
        <w:rPr>
          <w:rFonts w:ascii="Arial" w:hAnsi="Arial" w:cs="Arial"/>
          <w:b w:val="0"/>
          <w:sz w:val="22"/>
          <w:szCs w:val="22"/>
          <w:u w:val="none"/>
          <w:lang w:val="el-GR"/>
        </w:rPr>
      </w:pPr>
    </w:p>
    <w:p w:rsidR="008579DF" w:rsidRPr="00E82E91" w:rsidRDefault="008579DF" w:rsidP="00E82E9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82F20" w:rsidRPr="00E82E91" w:rsidRDefault="00282F20" w:rsidP="00F721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E91">
        <w:rPr>
          <w:rFonts w:ascii="Arial" w:hAnsi="Arial" w:cs="Arial"/>
          <w:b/>
          <w:sz w:val="22"/>
          <w:szCs w:val="22"/>
        </w:rPr>
        <w:t>Ωράριο Μαθημάτων</w:t>
      </w: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E91">
        <w:rPr>
          <w:rFonts w:ascii="Arial" w:hAnsi="Arial" w:cs="Arial"/>
          <w:sz w:val="22"/>
          <w:szCs w:val="22"/>
        </w:rPr>
        <w:t xml:space="preserve">Τα μαθήματα του </w:t>
      </w:r>
      <w:r w:rsidR="00585964">
        <w:rPr>
          <w:rFonts w:ascii="Arial" w:hAnsi="Arial" w:cs="Arial"/>
          <w:sz w:val="22"/>
          <w:szCs w:val="22"/>
        </w:rPr>
        <w:t xml:space="preserve">Α’ και Β’ εξαμήνου </w:t>
      </w:r>
      <w:r w:rsidRPr="00E82E91">
        <w:rPr>
          <w:rFonts w:ascii="Arial" w:hAnsi="Arial" w:cs="Arial"/>
          <w:sz w:val="22"/>
          <w:szCs w:val="22"/>
        </w:rPr>
        <w:t>θα πραγματοποιούνται Δευτέρα και Τετάρτη, ώρες 15:00-20:00.</w:t>
      </w: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E91">
        <w:rPr>
          <w:rFonts w:ascii="Arial" w:hAnsi="Arial" w:cs="Arial"/>
          <w:sz w:val="22"/>
          <w:szCs w:val="22"/>
        </w:rPr>
        <w:t xml:space="preserve">Τα μαθήματα του </w:t>
      </w:r>
      <w:r w:rsidR="00585964">
        <w:rPr>
          <w:rFonts w:ascii="Arial" w:hAnsi="Arial" w:cs="Arial"/>
          <w:sz w:val="22"/>
          <w:szCs w:val="22"/>
        </w:rPr>
        <w:t>Γ΄ εξαμήνου</w:t>
      </w:r>
      <w:r w:rsidRPr="00E82E91">
        <w:rPr>
          <w:rFonts w:ascii="Arial" w:hAnsi="Arial" w:cs="Arial"/>
          <w:sz w:val="22"/>
          <w:szCs w:val="22"/>
        </w:rPr>
        <w:t xml:space="preserve"> θα πραγματοποιούνται Τρίτη και Πέμπτη, ώρες 15:00-20:00, και κάποια μαθήματα θα πραγματοποιούνται σε πρωινό ωράριο μετά από συνεννόηση με τους μεταπτυχιακούς φοιτητές. </w:t>
      </w:r>
      <w:r w:rsidR="00585964">
        <w:rPr>
          <w:rFonts w:ascii="Arial" w:hAnsi="Arial" w:cs="Arial"/>
          <w:sz w:val="22"/>
          <w:szCs w:val="22"/>
        </w:rPr>
        <w:t>Η πρακτική άσκηση του Γ΄ εξαμήνου θα πραγματοποιείται</w:t>
      </w:r>
      <w:r w:rsidRPr="00E82E91">
        <w:rPr>
          <w:rFonts w:ascii="Arial" w:hAnsi="Arial" w:cs="Arial"/>
          <w:sz w:val="22"/>
          <w:szCs w:val="22"/>
        </w:rPr>
        <w:t xml:space="preserve"> καθημερινές, πρωινό ωράριο, σε Τακτικά Διαβητολογικά Ιατρεία, Ιατρεία Διαβητικού Ποδιού και Ιατρεία Παχυσαρκίας συνεργαζόμενων Νοσοκομείων της Αττικής.</w:t>
      </w: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E91">
        <w:rPr>
          <w:rFonts w:ascii="Arial" w:hAnsi="Arial" w:cs="Arial"/>
          <w:sz w:val="22"/>
          <w:szCs w:val="22"/>
        </w:rPr>
        <w:t xml:space="preserve">Η Διπλωματική Εργασία θα εκπονείται με συνεννόηση με τον Επιβλέποντα Καθηγητή. </w:t>
      </w: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2F20" w:rsidRPr="00E82E91" w:rsidRDefault="00282F20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25F" w:rsidRPr="00E82E91" w:rsidRDefault="003B425F" w:rsidP="00F721B3">
      <w:pPr>
        <w:autoSpaceDE w:val="0"/>
        <w:autoSpaceDN w:val="0"/>
        <w:adjustRightInd w:val="0"/>
        <w:spacing w:line="360" w:lineRule="auto"/>
        <w:ind w:right="-193"/>
        <w:jc w:val="center"/>
        <w:rPr>
          <w:rFonts w:ascii="Arial" w:eastAsia="Calibri" w:hAnsi="Arial" w:cs="Arial"/>
          <w:b/>
          <w:sz w:val="22"/>
          <w:szCs w:val="22"/>
        </w:rPr>
      </w:pPr>
      <w:r w:rsidRPr="00E82E91">
        <w:rPr>
          <w:rFonts w:ascii="Arial" w:eastAsia="Calibri" w:hAnsi="Arial" w:cs="Arial"/>
          <w:b/>
          <w:sz w:val="22"/>
          <w:szCs w:val="22"/>
        </w:rPr>
        <w:t>Υποχρεώσεις Μεταπτυχιακών Φοιτητών</w:t>
      </w:r>
    </w:p>
    <w:p w:rsidR="005F305A" w:rsidRPr="00E82E91" w:rsidRDefault="005F305A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B425F" w:rsidRPr="00E82E91" w:rsidRDefault="003B425F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2E91">
        <w:rPr>
          <w:rFonts w:ascii="Arial" w:hAnsi="Arial" w:cs="Arial"/>
          <w:sz w:val="22"/>
          <w:szCs w:val="22"/>
        </w:rPr>
        <w:t xml:space="preserve">Για την απόκτηση του μεταπτυχιακού τίτλου σπουδών απαιτείται η υποχρεωτική παρακολούθηση και επιτυχής εκπλήρωση των υποχρεώσεων των Μεταπτυχιακών Φοιτητών στα θεωρητικά μαθήματα, η υλοποίηση της πρακτικής άσκησης και η  εκπόνηση μεταπτυχιακής διπλωματικής εργασίας, όπως αυτά ορίζονται στον  Εσωτερικό Κανονισμό Σπουδών του </w:t>
      </w:r>
      <w:r w:rsidR="002C7261">
        <w:rPr>
          <w:rFonts w:ascii="Arial" w:hAnsi="Arial" w:cs="Arial"/>
          <w:sz w:val="22"/>
          <w:szCs w:val="22"/>
        </w:rPr>
        <w:t>Π.Μ.</w:t>
      </w:r>
      <w:r w:rsidRPr="00E82E91">
        <w:rPr>
          <w:rFonts w:ascii="Arial" w:hAnsi="Arial" w:cs="Arial"/>
          <w:sz w:val="22"/>
          <w:szCs w:val="22"/>
        </w:rPr>
        <w:t xml:space="preserve">Σ. </w:t>
      </w:r>
      <w:r w:rsidR="009A28F5" w:rsidRPr="00E82E91">
        <w:rPr>
          <w:rFonts w:ascii="Arial" w:hAnsi="Arial" w:cs="Arial"/>
          <w:sz w:val="22"/>
          <w:szCs w:val="22"/>
        </w:rPr>
        <w:t xml:space="preserve">Ο μεταπτυχιακός φοιτητής θεωρείται ότι έχει παρακολουθήσει μόνο εάν συμπληρώσει το </w:t>
      </w:r>
      <w:r w:rsidR="009A28F5" w:rsidRPr="00E82E91">
        <w:rPr>
          <w:rFonts w:ascii="Arial" w:hAnsi="Arial" w:cs="Arial"/>
          <w:b/>
          <w:sz w:val="22"/>
          <w:szCs w:val="22"/>
        </w:rPr>
        <w:t>80%  των ωρών κάθε μαθ</w:t>
      </w:r>
      <w:r w:rsidR="008151AE" w:rsidRPr="00E82E91">
        <w:rPr>
          <w:rFonts w:ascii="Arial" w:hAnsi="Arial" w:cs="Arial"/>
          <w:b/>
          <w:sz w:val="22"/>
          <w:szCs w:val="22"/>
        </w:rPr>
        <w:t>ήματος</w:t>
      </w:r>
      <w:r w:rsidR="009A28F5" w:rsidRPr="00E82E91">
        <w:rPr>
          <w:rFonts w:ascii="Arial" w:hAnsi="Arial" w:cs="Arial"/>
          <w:sz w:val="22"/>
          <w:szCs w:val="22"/>
        </w:rPr>
        <w:t xml:space="preserve"> (διαλέξεις και πρακτική εξάσκηση) του ισχύοντος προγράμματος σπουδών. Σε αντίθετη περίπτ</w:t>
      </w:r>
      <w:r w:rsidR="008151AE" w:rsidRPr="00E82E91">
        <w:rPr>
          <w:rFonts w:ascii="Arial" w:hAnsi="Arial" w:cs="Arial"/>
          <w:sz w:val="22"/>
          <w:szCs w:val="22"/>
        </w:rPr>
        <w:t>ωση υποχρεούται να επαναλάβει τις ώρες του μαθήματος</w:t>
      </w:r>
      <w:r w:rsidR="009A28F5" w:rsidRPr="00E82E91">
        <w:rPr>
          <w:rFonts w:ascii="Arial" w:hAnsi="Arial" w:cs="Arial"/>
          <w:sz w:val="22"/>
          <w:szCs w:val="22"/>
        </w:rPr>
        <w:t>.</w:t>
      </w:r>
    </w:p>
    <w:p w:rsidR="003B425F" w:rsidRPr="00E82E91" w:rsidRDefault="003B425F" w:rsidP="001B1F44">
      <w:pPr>
        <w:autoSpaceDE w:val="0"/>
        <w:autoSpaceDN w:val="0"/>
        <w:adjustRightInd w:val="0"/>
        <w:spacing w:line="360" w:lineRule="auto"/>
        <w:ind w:right="-193"/>
        <w:jc w:val="both"/>
        <w:rPr>
          <w:rFonts w:ascii="Arial" w:hAnsi="Arial" w:cs="Arial"/>
          <w:sz w:val="22"/>
          <w:szCs w:val="22"/>
        </w:rPr>
      </w:pPr>
      <w:r w:rsidRPr="00E82E91">
        <w:rPr>
          <w:rFonts w:ascii="Arial" w:eastAsia="Calibri" w:hAnsi="Arial" w:cs="Arial"/>
          <w:sz w:val="22"/>
          <w:szCs w:val="22"/>
        </w:rPr>
        <w:t xml:space="preserve">Οι σπουδές στο </w:t>
      </w:r>
      <w:r w:rsidR="002C7261">
        <w:rPr>
          <w:rFonts w:ascii="Arial" w:eastAsia="Calibri" w:hAnsi="Arial" w:cs="Arial"/>
          <w:sz w:val="22"/>
          <w:szCs w:val="22"/>
        </w:rPr>
        <w:t>Π.Μ</w:t>
      </w:r>
      <w:r w:rsidRPr="00E82E91">
        <w:rPr>
          <w:rFonts w:ascii="Arial" w:eastAsia="Calibri" w:hAnsi="Arial" w:cs="Arial"/>
          <w:sz w:val="22"/>
          <w:szCs w:val="22"/>
        </w:rPr>
        <w:t xml:space="preserve">.Σ  συνεπάγονται την </w:t>
      </w:r>
      <w:r w:rsidRPr="00E82E91">
        <w:rPr>
          <w:rFonts w:ascii="Arial" w:eastAsia="Calibri" w:hAnsi="Arial" w:cs="Arial"/>
          <w:bCs/>
          <w:sz w:val="22"/>
          <w:szCs w:val="22"/>
        </w:rPr>
        <w:t xml:space="preserve">καταβολή διδάκτρων. </w:t>
      </w:r>
      <w:r w:rsidRPr="00E82E91">
        <w:rPr>
          <w:rFonts w:ascii="Arial" w:eastAsia="Calibri" w:hAnsi="Arial" w:cs="Arial"/>
          <w:sz w:val="22"/>
          <w:szCs w:val="22"/>
        </w:rPr>
        <w:t>Για την διετία 201</w:t>
      </w:r>
      <w:r w:rsidR="002C7261">
        <w:rPr>
          <w:rFonts w:ascii="Arial" w:eastAsia="Calibri" w:hAnsi="Arial" w:cs="Arial"/>
          <w:sz w:val="22"/>
          <w:szCs w:val="22"/>
        </w:rPr>
        <w:t>9</w:t>
      </w:r>
      <w:r w:rsidRPr="00E82E91">
        <w:rPr>
          <w:rFonts w:ascii="Calibri" w:eastAsia="Calibri" w:hAnsi="Calibri" w:cs="Arial"/>
          <w:sz w:val="22"/>
          <w:szCs w:val="22"/>
        </w:rPr>
        <w:t>‐</w:t>
      </w:r>
      <w:r w:rsidR="002C7261">
        <w:rPr>
          <w:rFonts w:ascii="Arial" w:eastAsia="Calibri" w:hAnsi="Arial" w:cs="Arial"/>
          <w:sz w:val="22"/>
          <w:szCs w:val="22"/>
        </w:rPr>
        <w:t>2021</w:t>
      </w:r>
      <w:r w:rsidRPr="00E82E91">
        <w:rPr>
          <w:rFonts w:ascii="Arial" w:eastAsia="Calibri" w:hAnsi="Arial" w:cs="Arial"/>
          <w:sz w:val="22"/>
          <w:szCs w:val="22"/>
        </w:rPr>
        <w:t xml:space="preserve">, το συνολικό ύψος των διδάκτρων καθορίστηκε σε € </w:t>
      </w:r>
      <w:r w:rsidRPr="00E82E91">
        <w:rPr>
          <w:rFonts w:ascii="Arial" w:eastAsia="Calibri" w:hAnsi="Arial" w:cs="Arial"/>
          <w:bCs/>
          <w:sz w:val="22"/>
          <w:szCs w:val="22"/>
        </w:rPr>
        <w:t xml:space="preserve">4.000,00 </w:t>
      </w:r>
      <w:r w:rsidRPr="00E82E91">
        <w:rPr>
          <w:rFonts w:ascii="Arial" w:eastAsia="Calibri" w:hAnsi="Arial" w:cs="Arial"/>
          <w:sz w:val="22"/>
          <w:szCs w:val="22"/>
        </w:rPr>
        <w:t>(τέσσερις χιλιάδες</w:t>
      </w:r>
      <w:r w:rsidRPr="00E82E91">
        <w:rPr>
          <w:rFonts w:ascii="Arial" w:eastAsia="Calibri" w:hAnsi="Arial" w:cs="Arial"/>
          <w:bCs/>
          <w:sz w:val="22"/>
          <w:szCs w:val="22"/>
        </w:rPr>
        <w:t xml:space="preserve"> Ευρώ</w:t>
      </w:r>
      <w:r w:rsidRPr="00E82E91">
        <w:rPr>
          <w:rFonts w:ascii="Arial" w:eastAsia="Calibri" w:hAnsi="Arial" w:cs="Arial"/>
          <w:sz w:val="22"/>
          <w:szCs w:val="22"/>
        </w:rPr>
        <w:t xml:space="preserve">) που θα καταβληθούν σε τέσσερις (4) ισόποσες δόσεις κατά την έναρξη κάθε ακαδημαϊκού εξαμήνου. </w:t>
      </w:r>
    </w:p>
    <w:p w:rsidR="003B425F" w:rsidRPr="00E82E91" w:rsidRDefault="003B425F" w:rsidP="00E82E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3B425F" w:rsidRPr="00E82E91" w:rsidSect="001B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05" w:right="849" w:bottom="1134" w:left="851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62C" w:rsidRDefault="0055262C">
      <w:r>
        <w:separator/>
      </w:r>
    </w:p>
  </w:endnote>
  <w:endnote w:type="continuationSeparator" w:id="1">
    <w:p w:rsidR="0055262C" w:rsidRDefault="0055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Preplay">
    <w:altName w:val="Arial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B" w:rsidRDefault="006E3D4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B" w:rsidRDefault="006E3D4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B" w:rsidRDefault="006E3D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62C" w:rsidRDefault="0055262C">
      <w:r>
        <w:separator/>
      </w:r>
    </w:p>
  </w:footnote>
  <w:footnote w:type="continuationSeparator" w:id="1">
    <w:p w:rsidR="0055262C" w:rsidRDefault="00552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F1C" w:rsidRDefault="000E4935" w:rsidP="00D005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70F1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0F1C" w:rsidRDefault="00670F1C" w:rsidP="00EB457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686" w:rsidRPr="00DD2003" w:rsidRDefault="006E3D4B" w:rsidP="00947686">
    <w:pPr>
      <w:pStyle w:val="a7"/>
    </w:pPr>
    <w:r>
      <w:rPr>
        <w:noProof/>
        <w:lang w:eastAsia="el-G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3898265</wp:posOffset>
          </wp:positionH>
          <wp:positionV relativeFrom="paragraph">
            <wp:posOffset>-250190</wp:posOffset>
          </wp:positionV>
          <wp:extent cx="1257300" cy="1057275"/>
          <wp:effectExtent l="19050" t="0" r="0" b="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2003">
      <w:rPr>
        <w:noProof/>
        <w:lang w:eastAsia="el-GR"/>
      </w:rP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485775</wp:posOffset>
          </wp:positionH>
          <wp:positionV relativeFrom="page">
            <wp:posOffset>114300</wp:posOffset>
          </wp:positionV>
          <wp:extent cx="3839210" cy="1085850"/>
          <wp:effectExtent l="19050" t="0" r="8890" b="0"/>
          <wp:wrapSquare wrapText="bothSides"/>
          <wp:docPr id="7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7686">
      <w:ptab w:relativeTo="margin" w:alignment="left" w:leader="dot"/>
    </w:r>
    <w:r w:rsidR="00370FBD" w:rsidRPr="00370FBD">
      <w:rPr>
        <w:rFonts w:ascii="BPreplay" w:hAnsi="BPreplay" w:cs="Tahoma"/>
        <w:b/>
        <w:color w:val="0070C0"/>
        <w:spacing w:val="20"/>
        <w:sz w:val="22"/>
        <w:szCs w:val="22"/>
      </w:rPr>
      <w:t xml:space="preserve"> </w:t>
    </w:r>
    <w:r w:rsidR="00370FBD" w:rsidRPr="006B5CCC">
      <w:rPr>
        <w:rFonts w:ascii="BPreplay" w:hAnsi="BPreplay" w:cs="Tahoma"/>
        <w:b/>
        <w:color w:val="0070C0"/>
        <w:spacing w:val="20"/>
        <w:sz w:val="22"/>
        <w:szCs w:val="22"/>
      </w:rPr>
      <w:t>ΜΕΤΑΠΤΥΧΙΑΚΟ ΠΡΟΓΡΑΜΜΑ ΣΠΟΥΔΩΝ</w:t>
    </w:r>
    <w:r w:rsidR="00370FBD" w:rsidRPr="00947686">
      <w:t xml:space="preserve"> </w:t>
    </w:r>
    <w:r w:rsidR="00370FBD" w:rsidRPr="00DD2003">
      <w:t xml:space="preserve">                     </w:t>
    </w:r>
  </w:p>
  <w:p w:rsidR="00370FBD" w:rsidRPr="00DD2003" w:rsidRDefault="00370FBD" w:rsidP="00947686">
    <w:pPr>
      <w:pStyle w:val="a7"/>
    </w:pPr>
  </w:p>
  <w:p w:rsidR="00370FBD" w:rsidRPr="00DD2003" w:rsidRDefault="00370FBD" w:rsidP="00947686">
    <w:pPr>
      <w:pStyle w:val="a7"/>
    </w:pPr>
  </w:p>
  <w:p w:rsidR="00370FBD" w:rsidRPr="00DD2003" w:rsidRDefault="00370FBD" w:rsidP="00947686">
    <w:pPr>
      <w:pStyle w:val="a7"/>
    </w:pPr>
  </w:p>
  <w:p w:rsidR="00370FBD" w:rsidRPr="00DD2003" w:rsidRDefault="00370FBD" w:rsidP="00947686">
    <w:pPr>
      <w:pStyle w:val="a7"/>
    </w:pPr>
  </w:p>
  <w:p w:rsidR="00370FBD" w:rsidRPr="00370FBD" w:rsidRDefault="00DD2003" w:rsidP="00370FBD">
    <w:pPr>
      <w:pStyle w:val="a7"/>
      <w:ind w:left="-284"/>
      <w:rPr>
        <w:rFonts w:ascii="Katsoulidis" w:hAnsi="Katsoulidis"/>
        <w:b/>
      </w:rPr>
    </w:pPr>
    <w:r>
      <w:rPr>
        <w:rFonts w:ascii="Katsoulidis" w:hAnsi="Katsoulidis"/>
        <w:b/>
      </w:rPr>
      <w:t xml:space="preserve">     </w:t>
    </w:r>
    <w:r w:rsidR="00370FBD" w:rsidRPr="00370FBD">
      <w:rPr>
        <w:rFonts w:ascii="Katsoulidis" w:hAnsi="Katsoulidis"/>
        <w:b/>
      </w:rPr>
      <w:t>ΣΧΟΛΗ ΕΠΙΣΤΗΜΩΝ ΥΓΕΙΑΣ</w:t>
    </w:r>
    <w:r>
      <w:rPr>
        <w:rFonts w:ascii="Katsoulidis" w:hAnsi="Katsoulidis"/>
        <w:b/>
      </w:rPr>
      <w:t xml:space="preserve">                      </w:t>
    </w:r>
    <w:r w:rsidR="00370FBD" w:rsidRPr="00370FBD">
      <w:rPr>
        <w:rFonts w:ascii="BPreplay" w:hAnsi="BPreplay" w:cs="Tahoma"/>
        <w:b/>
        <w:color w:val="0070C0"/>
        <w:spacing w:val="20"/>
        <w:sz w:val="22"/>
        <w:szCs w:val="22"/>
      </w:rPr>
      <w:t>ΠΡΟΓΡΑΜΜΑ</w:t>
    </w:r>
    <w:r w:rsidR="00370FBD">
      <w:rPr>
        <w:rFonts w:ascii="BPreplay" w:hAnsi="BPreplay" w:cs="Tahoma"/>
        <w:b/>
        <w:color w:val="0070C0"/>
        <w:spacing w:val="20"/>
        <w:sz w:val="22"/>
        <w:szCs w:val="22"/>
      </w:rPr>
      <w:t xml:space="preserve"> </w:t>
    </w:r>
    <w:r w:rsidR="002C7261">
      <w:rPr>
        <w:rFonts w:ascii="BPreplay" w:hAnsi="BPreplay" w:cs="Tahoma"/>
        <w:b/>
        <w:color w:val="0070C0"/>
        <w:spacing w:val="20"/>
        <w:sz w:val="22"/>
        <w:szCs w:val="22"/>
      </w:rPr>
      <w:t>ΜΕΤΑΠΤΥΧΙΑΚΩΝ</w:t>
    </w:r>
    <w:r w:rsidR="00370FBD">
      <w:rPr>
        <w:rFonts w:ascii="BPreplay" w:hAnsi="BPreplay" w:cs="Tahoma"/>
        <w:b/>
        <w:color w:val="0070C0"/>
        <w:spacing w:val="20"/>
        <w:sz w:val="22"/>
        <w:szCs w:val="22"/>
      </w:rPr>
      <w:tab/>
      <w:t xml:space="preserve">                                                                </w:t>
    </w:r>
  </w:p>
  <w:p w:rsidR="00370FBD" w:rsidRPr="00370FBD" w:rsidRDefault="00DD2003" w:rsidP="00370FBD">
    <w:pPr>
      <w:pStyle w:val="a7"/>
      <w:ind w:left="-284"/>
      <w:rPr>
        <w:rFonts w:ascii="BPreplay" w:hAnsi="BPreplay"/>
        <w:b/>
        <w:color w:val="0070C0"/>
        <w:sz w:val="22"/>
        <w:szCs w:val="22"/>
      </w:rPr>
    </w:pPr>
    <w:r>
      <w:rPr>
        <w:rFonts w:ascii="Katsoulidis" w:hAnsi="Katsoulidis"/>
        <w:b/>
      </w:rPr>
      <w:t xml:space="preserve">     </w:t>
    </w:r>
    <w:r w:rsidR="00370FBD" w:rsidRPr="00370FBD">
      <w:rPr>
        <w:rFonts w:ascii="Katsoulidis" w:hAnsi="Katsoulidis"/>
        <w:b/>
      </w:rPr>
      <w:t>ΙΑΤΡΙΚΗ ΣΧΟΛΗ</w:t>
    </w:r>
    <w:r w:rsidR="00370FBD">
      <w:rPr>
        <w:rFonts w:ascii="Katsoulidis" w:hAnsi="Katsoulidis"/>
        <w:b/>
      </w:rPr>
      <w:t xml:space="preserve">              </w:t>
    </w:r>
    <w:r>
      <w:rPr>
        <w:rFonts w:ascii="Katsoulidis" w:hAnsi="Katsoulidis"/>
        <w:b/>
      </w:rPr>
      <w:t xml:space="preserve">                                </w:t>
    </w:r>
    <w:r w:rsidR="00370FBD" w:rsidRPr="00370FBD">
      <w:rPr>
        <w:rFonts w:ascii="BPreplay" w:hAnsi="BPreplay"/>
        <w:b/>
        <w:color w:val="0070C0"/>
        <w:sz w:val="22"/>
        <w:szCs w:val="22"/>
      </w:rPr>
      <w:t>ΣΠΟΥΔΩΝ (</w:t>
    </w:r>
    <w:r w:rsidR="00370FBD" w:rsidRPr="00370FBD">
      <w:rPr>
        <w:rFonts w:ascii="BPreplay" w:hAnsi="BPreplay"/>
        <w:b/>
        <w:color w:val="0070C0"/>
        <w:sz w:val="22"/>
        <w:szCs w:val="22"/>
        <w:lang w:val="en-GB"/>
      </w:rPr>
      <w:t>MSc</w:t>
    </w:r>
    <w:r w:rsidR="00370FBD" w:rsidRPr="00370FBD">
      <w:rPr>
        <w:rFonts w:ascii="BPreplay" w:hAnsi="BPreplay"/>
        <w:b/>
        <w:color w:val="0070C0"/>
        <w:sz w:val="22"/>
        <w:szCs w:val="22"/>
      </w:rPr>
      <w:t xml:space="preserve">) ΣΑΚΧΑΡΩΔΗΣ   </w:t>
    </w:r>
  </w:p>
  <w:p w:rsidR="00370FBD" w:rsidRPr="00370FBD" w:rsidRDefault="00370FBD" w:rsidP="00370FBD">
    <w:pPr>
      <w:pStyle w:val="a7"/>
      <w:ind w:left="-284"/>
      <w:rPr>
        <w:rFonts w:ascii="Katsoulidis" w:hAnsi="Katsoulidis"/>
        <w:b/>
        <w:color w:val="0070C0"/>
      </w:rPr>
    </w:pPr>
    <w:r w:rsidRPr="00370FBD">
      <w:rPr>
        <w:rFonts w:ascii="BPreplay" w:hAnsi="BPreplay"/>
        <w:b/>
        <w:color w:val="0070C0"/>
        <w:sz w:val="22"/>
        <w:szCs w:val="22"/>
      </w:rPr>
      <w:t xml:space="preserve">                                                                                           </w:t>
    </w:r>
    <w:r w:rsidR="00DD2003">
      <w:rPr>
        <w:rFonts w:ascii="BPreplay" w:hAnsi="BPreplay"/>
        <w:b/>
        <w:color w:val="0070C0"/>
        <w:sz w:val="22"/>
        <w:szCs w:val="22"/>
      </w:rPr>
      <w:t xml:space="preserve">   </w:t>
    </w:r>
    <w:r w:rsidRPr="00370FBD">
      <w:rPr>
        <w:rFonts w:ascii="BPreplay" w:hAnsi="BPreplay"/>
        <w:b/>
        <w:color w:val="0070C0"/>
        <w:sz w:val="22"/>
        <w:szCs w:val="22"/>
      </w:rPr>
      <w:t xml:space="preserve"> </w:t>
    </w:r>
    <w:r w:rsidR="00DD2003">
      <w:rPr>
        <w:rFonts w:ascii="BPreplay" w:hAnsi="BPreplay"/>
        <w:b/>
        <w:color w:val="0070C0"/>
        <w:sz w:val="22"/>
        <w:szCs w:val="22"/>
      </w:rPr>
      <w:t xml:space="preserve"> </w:t>
    </w:r>
    <w:r w:rsidRPr="00370FBD">
      <w:rPr>
        <w:rFonts w:ascii="BPreplay" w:hAnsi="BPreplay"/>
        <w:b/>
        <w:color w:val="0070C0"/>
        <w:sz w:val="22"/>
        <w:szCs w:val="22"/>
      </w:rPr>
      <w:t xml:space="preserve">ΔΙΑΒΗΤΗΣ </w:t>
    </w:r>
    <w:r w:rsidRPr="00370FBD">
      <w:rPr>
        <w:rFonts w:ascii="BPreplay" w:hAnsi="BPreplay"/>
        <w:b/>
        <w:color w:val="E36C0A" w:themeColor="accent6" w:themeShade="BF"/>
        <w:sz w:val="22"/>
        <w:szCs w:val="22"/>
      </w:rPr>
      <w:t>ΚΑΙ</w:t>
    </w:r>
    <w:r w:rsidRPr="00370FBD">
      <w:rPr>
        <w:rFonts w:ascii="BPreplay" w:hAnsi="BPreplay"/>
        <w:b/>
        <w:color w:val="FFC000"/>
        <w:sz w:val="22"/>
        <w:szCs w:val="22"/>
      </w:rPr>
      <w:t xml:space="preserve"> </w:t>
    </w:r>
    <w:r w:rsidRPr="00370FBD">
      <w:rPr>
        <w:rFonts w:ascii="BPreplay" w:hAnsi="BPreplay"/>
        <w:b/>
        <w:color w:val="0070C0"/>
        <w:sz w:val="22"/>
        <w:szCs w:val="22"/>
      </w:rPr>
      <w:t>ΠΑΧΥΣΑΡΚΙΑ</w:t>
    </w:r>
  </w:p>
  <w:p w:rsidR="00370FBD" w:rsidRPr="00370FBD" w:rsidRDefault="00370FBD" w:rsidP="00370FBD">
    <w:pPr>
      <w:pStyle w:val="a7"/>
      <w:ind w:left="-284"/>
      <w:rPr>
        <w:rFonts w:ascii="Katsoulidis" w:hAnsi="Katsoulidis"/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D4B" w:rsidRDefault="006E3D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96975E"/>
    <w:lvl w:ilvl="0">
      <w:numFmt w:val="decimal"/>
      <w:lvlText w:val="*"/>
      <w:lvlJc w:val="left"/>
    </w:lvl>
  </w:abstractNum>
  <w:abstractNum w:abstractNumId="1">
    <w:nsid w:val="07C52FE0"/>
    <w:multiLevelType w:val="multilevel"/>
    <w:tmpl w:val="CBBEBE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9F2A2F"/>
    <w:multiLevelType w:val="hybridMultilevel"/>
    <w:tmpl w:val="FF9815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A49B9"/>
    <w:multiLevelType w:val="hybridMultilevel"/>
    <w:tmpl w:val="8996DFC4"/>
    <w:lvl w:ilvl="0" w:tplc="0C66EF8C">
      <w:start w:val="1"/>
      <w:numFmt w:val="decimal"/>
      <w:lvlText w:val="%1.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240346FB"/>
    <w:multiLevelType w:val="hybridMultilevel"/>
    <w:tmpl w:val="408212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508B3"/>
    <w:multiLevelType w:val="hybridMultilevel"/>
    <w:tmpl w:val="E89069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165B03"/>
    <w:multiLevelType w:val="hybridMultilevel"/>
    <w:tmpl w:val="BC188BEA"/>
    <w:lvl w:ilvl="0" w:tplc="F2E4DE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D783B"/>
    <w:multiLevelType w:val="hybridMultilevel"/>
    <w:tmpl w:val="9FB2153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672CCE"/>
    <w:multiLevelType w:val="hybridMultilevel"/>
    <w:tmpl w:val="8DFA19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1676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7759F"/>
    <w:multiLevelType w:val="hybridMultilevel"/>
    <w:tmpl w:val="70921458"/>
    <w:lvl w:ilvl="0" w:tplc="9E84D7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D534E5"/>
    <w:multiLevelType w:val="hybridMultilevel"/>
    <w:tmpl w:val="D46CC5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AF4787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6B6B55"/>
    <w:multiLevelType w:val="hybridMultilevel"/>
    <w:tmpl w:val="31A4AF92"/>
    <w:lvl w:ilvl="0" w:tplc="2AA430B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4E7093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20C2A"/>
    <w:multiLevelType w:val="hybridMultilevel"/>
    <w:tmpl w:val="606A1B4C"/>
    <w:lvl w:ilvl="0" w:tplc="904C2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A933E6"/>
    <w:multiLevelType w:val="hybridMultilevel"/>
    <w:tmpl w:val="4A786A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410EA1"/>
    <w:multiLevelType w:val="hybridMultilevel"/>
    <w:tmpl w:val="434E5808"/>
    <w:lvl w:ilvl="0" w:tplc="0408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8">
    <w:nsid w:val="79922044"/>
    <w:multiLevelType w:val="hybridMultilevel"/>
    <w:tmpl w:val="F71C8E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D541A"/>
    <w:multiLevelType w:val="hybridMultilevel"/>
    <w:tmpl w:val="5A5E27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CE94BB6"/>
    <w:multiLevelType w:val="hybridMultilevel"/>
    <w:tmpl w:val="CD6AEC0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19"/>
  </w:num>
  <w:num w:numId="6">
    <w:abstractNumId w:val="8"/>
  </w:num>
  <w:num w:numId="7">
    <w:abstractNumId w:val="7"/>
  </w:num>
  <w:num w:numId="8">
    <w:abstractNumId w:val="17"/>
  </w:num>
  <w:num w:numId="9">
    <w:abstractNumId w:val="3"/>
  </w:num>
  <w:num w:numId="10">
    <w:abstractNumId w:val="18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4"/>
  </w:num>
  <w:num w:numId="16">
    <w:abstractNumId w:val="15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16"/>
  </w:num>
  <w:num w:numId="19">
    <w:abstractNumId w:val="20"/>
  </w:num>
  <w:num w:numId="20">
    <w:abstractNumId w:val="1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97B5A"/>
    <w:rsid w:val="00012E9F"/>
    <w:rsid w:val="00022ABA"/>
    <w:rsid w:val="00023B70"/>
    <w:rsid w:val="00040D8B"/>
    <w:rsid w:val="00041E22"/>
    <w:rsid w:val="00041EEC"/>
    <w:rsid w:val="0005303E"/>
    <w:rsid w:val="00070F91"/>
    <w:rsid w:val="00075875"/>
    <w:rsid w:val="00080E24"/>
    <w:rsid w:val="00083B5C"/>
    <w:rsid w:val="0009113B"/>
    <w:rsid w:val="000A239C"/>
    <w:rsid w:val="000B49F9"/>
    <w:rsid w:val="000B717B"/>
    <w:rsid w:val="000C15E8"/>
    <w:rsid w:val="000C3D4B"/>
    <w:rsid w:val="000C5AAB"/>
    <w:rsid w:val="000D09B7"/>
    <w:rsid w:val="000D1E09"/>
    <w:rsid w:val="000D2A49"/>
    <w:rsid w:val="000E0366"/>
    <w:rsid w:val="000E12AB"/>
    <w:rsid w:val="000E37B6"/>
    <w:rsid w:val="000E4935"/>
    <w:rsid w:val="000E5AD1"/>
    <w:rsid w:val="000E6AC9"/>
    <w:rsid w:val="000F140B"/>
    <w:rsid w:val="000F2860"/>
    <w:rsid w:val="000F395A"/>
    <w:rsid w:val="000F3A4F"/>
    <w:rsid w:val="000F57D2"/>
    <w:rsid w:val="0010099D"/>
    <w:rsid w:val="0010707A"/>
    <w:rsid w:val="001131F7"/>
    <w:rsid w:val="001266BB"/>
    <w:rsid w:val="00132D57"/>
    <w:rsid w:val="00132E1D"/>
    <w:rsid w:val="00133960"/>
    <w:rsid w:val="001368E9"/>
    <w:rsid w:val="001430BD"/>
    <w:rsid w:val="00145DCB"/>
    <w:rsid w:val="00147810"/>
    <w:rsid w:val="0015276D"/>
    <w:rsid w:val="00154E92"/>
    <w:rsid w:val="0016176C"/>
    <w:rsid w:val="001737DE"/>
    <w:rsid w:val="001775F2"/>
    <w:rsid w:val="00183EA1"/>
    <w:rsid w:val="001920D4"/>
    <w:rsid w:val="00192412"/>
    <w:rsid w:val="001A10DE"/>
    <w:rsid w:val="001B1F44"/>
    <w:rsid w:val="001C592B"/>
    <w:rsid w:val="001E37E6"/>
    <w:rsid w:val="001E399F"/>
    <w:rsid w:val="00215494"/>
    <w:rsid w:val="0022110D"/>
    <w:rsid w:val="00222FF5"/>
    <w:rsid w:val="002347EC"/>
    <w:rsid w:val="00253DB5"/>
    <w:rsid w:val="002627B3"/>
    <w:rsid w:val="0026636C"/>
    <w:rsid w:val="00266A02"/>
    <w:rsid w:val="00275CEF"/>
    <w:rsid w:val="0027685E"/>
    <w:rsid w:val="0028270D"/>
    <w:rsid w:val="00282F20"/>
    <w:rsid w:val="00283621"/>
    <w:rsid w:val="002863A5"/>
    <w:rsid w:val="00286DD8"/>
    <w:rsid w:val="002942E0"/>
    <w:rsid w:val="002A3B97"/>
    <w:rsid w:val="002A4C53"/>
    <w:rsid w:val="002B5084"/>
    <w:rsid w:val="002C067F"/>
    <w:rsid w:val="002C0F3E"/>
    <w:rsid w:val="002C7261"/>
    <w:rsid w:val="002D56A7"/>
    <w:rsid w:val="002D6BFC"/>
    <w:rsid w:val="002E0097"/>
    <w:rsid w:val="002E3BE4"/>
    <w:rsid w:val="002E4C01"/>
    <w:rsid w:val="002F2DD5"/>
    <w:rsid w:val="00302470"/>
    <w:rsid w:val="00310477"/>
    <w:rsid w:val="00312D3F"/>
    <w:rsid w:val="00315600"/>
    <w:rsid w:val="00317AF6"/>
    <w:rsid w:val="00320C6C"/>
    <w:rsid w:val="003324E2"/>
    <w:rsid w:val="003453E0"/>
    <w:rsid w:val="00360CA3"/>
    <w:rsid w:val="00360D87"/>
    <w:rsid w:val="00365607"/>
    <w:rsid w:val="00370FBD"/>
    <w:rsid w:val="00380391"/>
    <w:rsid w:val="00385C0A"/>
    <w:rsid w:val="003863DC"/>
    <w:rsid w:val="0039434D"/>
    <w:rsid w:val="00397B5A"/>
    <w:rsid w:val="003A0542"/>
    <w:rsid w:val="003A3F22"/>
    <w:rsid w:val="003B347B"/>
    <w:rsid w:val="003B425F"/>
    <w:rsid w:val="003C0327"/>
    <w:rsid w:val="003C3976"/>
    <w:rsid w:val="003C59AC"/>
    <w:rsid w:val="003D3EA6"/>
    <w:rsid w:val="003D6458"/>
    <w:rsid w:val="003E2959"/>
    <w:rsid w:val="003E42A2"/>
    <w:rsid w:val="003E5000"/>
    <w:rsid w:val="003F14C0"/>
    <w:rsid w:val="0040775C"/>
    <w:rsid w:val="00452287"/>
    <w:rsid w:val="00456BAA"/>
    <w:rsid w:val="00481A6B"/>
    <w:rsid w:val="00482B1D"/>
    <w:rsid w:val="00484B3F"/>
    <w:rsid w:val="00496F22"/>
    <w:rsid w:val="004A4FDC"/>
    <w:rsid w:val="004B372C"/>
    <w:rsid w:val="004B4793"/>
    <w:rsid w:val="004C33BB"/>
    <w:rsid w:val="004C62D0"/>
    <w:rsid w:val="004C6B8C"/>
    <w:rsid w:val="004C6C08"/>
    <w:rsid w:val="004D499C"/>
    <w:rsid w:val="004F02C2"/>
    <w:rsid w:val="004F4869"/>
    <w:rsid w:val="004F5F1B"/>
    <w:rsid w:val="00511381"/>
    <w:rsid w:val="00511F12"/>
    <w:rsid w:val="005132AC"/>
    <w:rsid w:val="00530D2E"/>
    <w:rsid w:val="00537B6F"/>
    <w:rsid w:val="00542BBA"/>
    <w:rsid w:val="00546CCE"/>
    <w:rsid w:val="00547ADF"/>
    <w:rsid w:val="0055262C"/>
    <w:rsid w:val="00552FE3"/>
    <w:rsid w:val="00574010"/>
    <w:rsid w:val="00574AE8"/>
    <w:rsid w:val="00575069"/>
    <w:rsid w:val="00575DC3"/>
    <w:rsid w:val="00585964"/>
    <w:rsid w:val="00594C0B"/>
    <w:rsid w:val="005A1E69"/>
    <w:rsid w:val="005A51DA"/>
    <w:rsid w:val="005D6D3D"/>
    <w:rsid w:val="005E30A5"/>
    <w:rsid w:val="005F305A"/>
    <w:rsid w:val="005F59F8"/>
    <w:rsid w:val="00600F01"/>
    <w:rsid w:val="00601111"/>
    <w:rsid w:val="00601C95"/>
    <w:rsid w:val="00606CFE"/>
    <w:rsid w:val="00611934"/>
    <w:rsid w:val="00612D3A"/>
    <w:rsid w:val="00612F2C"/>
    <w:rsid w:val="00613E73"/>
    <w:rsid w:val="00625C87"/>
    <w:rsid w:val="006519EA"/>
    <w:rsid w:val="00660223"/>
    <w:rsid w:val="00660DC9"/>
    <w:rsid w:val="00661244"/>
    <w:rsid w:val="006657D8"/>
    <w:rsid w:val="00670F1C"/>
    <w:rsid w:val="00671949"/>
    <w:rsid w:val="00671D7F"/>
    <w:rsid w:val="006776F5"/>
    <w:rsid w:val="006907ED"/>
    <w:rsid w:val="006925E2"/>
    <w:rsid w:val="006968CB"/>
    <w:rsid w:val="006A1AD9"/>
    <w:rsid w:val="006A2F3B"/>
    <w:rsid w:val="006A6615"/>
    <w:rsid w:val="006B1F31"/>
    <w:rsid w:val="006C0A22"/>
    <w:rsid w:val="006C219C"/>
    <w:rsid w:val="006C3B55"/>
    <w:rsid w:val="006C5412"/>
    <w:rsid w:val="006E003E"/>
    <w:rsid w:val="006E3D4B"/>
    <w:rsid w:val="006E75B6"/>
    <w:rsid w:val="006F65A4"/>
    <w:rsid w:val="006F7910"/>
    <w:rsid w:val="00705F83"/>
    <w:rsid w:val="007078A7"/>
    <w:rsid w:val="007162C6"/>
    <w:rsid w:val="00717CBE"/>
    <w:rsid w:val="00725A2C"/>
    <w:rsid w:val="007346DF"/>
    <w:rsid w:val="00756113"/>
    <w:rsid w:val="007624AA"/>
    <w:rsid w:val="00765054"/>
    <w:rsid w:val="007760C4"/>
    <w:rsid w:val="00777CF8"/>
    <w:rsid w:val="00782DCD"/>
    <w:rsid w:val="007938C1"/>
    <w:rsid w:val="00794799"/>
    <w:rsid w:val="007968AF"/>
    <w:rsid w:val="007B115A"/>
    <w:rsid w:val="007B15F8"/>
    <w:rsid w:val="007B368C"/>
    <w:rsid w:val="007B66E9"/>
    <w:rsid w:val="007C65A8"/>
    <w:rsid w:val="007C70B3"/>
    <w:rsid w:val="007D737B"/>
    <w:rsid w:val="007E14CC"/>
    <w:rsid w:val="007F39C3"/>
    <w:rsid w:val="00807F2C"/>
    <w:rsid w:val="00807F77"/>
    <w:rsid w:val="008151AE"/>
    <w:rsid w:val="00815480"/>
    <w:rsid w:val="00820DB1"/>
    <w:rsid w:val="0082424C"/>
    <w:rsid w:val="00825A9B"/>
    <w:rsid w:val="00831DBA"/>
    <w:rsid w:val="00834D57"/>
    <w:rsid w:val="0084045B"/>
    <w:rsid w:val="00847DAC"/>
    <w:rsid w:val="00850C33"/>
    <w:rsid w:val="0085367E"/>
    <w:rsid w:val="008579DF"/>
    <w:rsid w:val="008637A3"/>
    <w:rsid w:val="008648B0"/>
    <w:rsid w:val="00866344"/>
    <w:rsid w:val="00867A81"/>
    <w:rsid w:val="00872D15"/>
    <w:rsid w:val="00875FF8"/>
    <w:rsid w:val="00880223"/>
    <w:rsid w:val="00881DF3"/>
    <w:rsid w:val="0088546B"/>
    <w:rsid w:val="0089047B"/>
    <w:rsid w:val="00892438"/>
    <w:rsid w:val="008C287E"/>
    <w:rsid w:val="008C5B20"/>
    <w:rsid w:val="008D7052"/>
    <w:rsid w:val="008E1491"/>
    <w:rsid w:val="008E65A0"/>
    <w:rsid w:val="008F7ACA"/>
    <w:rsid w:val="00900785"/>
    <w:rsid w:val="009008BB"/>
    <w:rsid w:val="0090176F"/>
    <w:rsid w:val="00905D3E"/>
    <w:rsid w:val="00912110"/>
    <w:rsid w:val="0092404D"/>
    <w:rsid w:val="009259C6"/>
    <w:rsid w:val="009332E6"/>
    <w:rsid w:val="00933525"/>
    <w:rsid w:val="00947686"/>
    <w:rsid w:val="0095067C"/>
    <w:rsid w:val="00962F9E"/>
    <w:rsid w:val="00971151"/>
    <w:rsid w:val="009712F4"/>
    <w:rsid w:val="00980C72"/>
    <w:rsid w:val="00981DC6"/>
    <w:rsid w:val="009870CB"/>
    <w:rsid w:val="009A28F5"/>
    <w:rsid w:val="009B189C"/>
    <w:rsid w:val="009C6CDC"/>
    <w:rsid w:val="009D1254"/>
    <w:rsid w:val="009D39CD"/>
    <w:rsid w:val="009D3A3D"/>
    <w:rsid w:val="009E0F2E"/>
    <w:rsid w:val="009F63E8"/>
    <w:rsid w:val="009F7E80"/>
    <w:rsid w:val="00A054ED"/>
    <w:rsid w:val="00A059FC"/>
    <w:rsid w:val="00A159D7"/>
    <w:rsid w:val="00A17F67"/>
    <w:rsid w:val="00A2187F"/>
    <w:rsid w:val="00A24B00"/>
    <w:rsid w:val="00A2718F"/>
    <w:rsid w:val="00A27CA7"/>
    <w:rsid w:val="00A32D13"/>
    <w:rsid w:val="00A33729"/>
    <w:rsid w:val="00A365E9"/>
    <w:rsid w:val="00A43F2F"/>
    <w:rsid w:val="00A56829"/>
    <w:rsid w:val="00A71771"/>
    <w:rsid w:val="00A731EE"/>
    <w:rsid w:val="00A744FC"/>
    <w:rsid w:val="00A76D2E"/>
    <w:rsid w:val="00A824A7"/>
    <w:rsid w:val="00A8673E"/>
    <w:rsid w:val="00A8736D"/>
    <w:rsid w:val="00A9488E"/>
    <w:rsid w:val="00A96B77"/>
    <w:rsid w:val="00AA7C88"/>
    <w:rsid w:val="00AB27EA"/>
    <w:rsid w:val="00AC1093"/>
    <w:rsid w:val="00AC186F"/>
    <w:rsid w:val="00AC232B"/>
    <w:rsid w:val="00AC3784"/>
    <w:rsid w:val="00AC5568"/>
    <w:rsid w:val="00AC5EC5"/>
    <w:rsid w:val="00AD6E6D"/>
    <w:rsid w:val="00AE1BCA"/>
    <w:rsid w:val="00AE3D1E"/>
    <w:rsid w:val="00AF6877"/>
    <w:rsid w:val="00B02492"/>
    <w:rsid w:val="00B1392B"/>
    <w:rsid w:val="00B16E1F"/>
    <w:rsid w:val="00B20F43"/>
    <w:rsid w:val="00B212F2"/>
    <w:rsid w:val="00B21D2E"/>
    <w:rsid w:val="00B246F9"/>
    <w:rsid w:val="00B26C09"/>
    <w:rsid w:val="00B314DD"/>
    <w:rsid w:val="00B335E8"/>
    <w:rsid w:val="00B34B4F"/>
    <w:rsid w:val="00B40014"/>
    <w:rsid w:val="00B4027E"/>
    <w:rsid w:val="00B66180"/>
    <w:rsid w:val="00B72BA7"/>
    <w:rsid w:val="00B77C65"/>
    <w:rsid w:val="00B9330A"/>
    <w:rsid w:val="00B9709C"/>
    <w:rsid w:val="00BA3C72"/>
    <w:rsid w:val="00BA51D8"/>
    <w:rsid w:val="00BB370D"/>
    <w:rsid w:val="00BB4629"/>
    <w:rsid w:val="00BD0823"/>
    <w:rsid w:val="00BD094A"/>
    <w:rsid w:val="00BD4C49"/>
    <w:rsid w:val="00BD7D11"/>
    <w:rsid w:val="00BE70A1"/>
    <w:rsid w:val="00C0514E"/>
    <w:rsid w:val="00C116F6"/>
    <w:rsid w:val="00C1433C"/>
    <w:rsid w:val="00C1715D"/>
    <w:rsid w:val="00C1757C"/>
    <w:rsid w:val="00C321AD"/>
    <w:rsid w:val="00C366E4"/>
    <w:rsid w:val="00C4150F"/>
    <w:rsid w:val="00C466A3"/>
    <w:rsid w:val="00C467FE"/>
    <w:rsid w:val="00C508A7"/>
    <w:rsid w:val="00C5349C"/>
    <w:rsid w:val="00C53AEE"/>
    <w:rsid w:val="00C71CF0"/>
    <w:rsid w:val="00C7489C"/>
    <w:rsid w:val="00C757FC"/>
    <w:rsid w:val="00C85094"/>
    <w:rsid w:val="00C95AD6"/>
    <w:rsid w:val="00CA3F83"/>
    <w:rsid w:val="00CA53A6"/>
    <w:rsid w:val="00CA5EB1"/>
    <w:rsid w:val="00CB31FA"/>
    <w:rsid w:val="00CB7A10"/>
    <w:rsid w:val="00CC2F7D"/>
    <w:rsid w:val="00CC31C0"/>
    <w:rsid w:val="00CD167E"/>
    <w:rsid w:val="00CD4050"/>
    <w:rsid w:val="00CD4181"/>
    <w:rsid w:val="00CF1244"/>
    <w:rsid w:val="00CF254F"/>
    <w:rsid w:val="00D00526"/>
    <w:rsid w:val="00D028EB"/>
    <w:rsid w:val="00D11490"/>
    <w:rsid w:val="00D27787"/>
    <w:rsid w:val="00D317A9"/>
    <w:rsid w:val="00D356F7"/>
    <w:rsid w:val="00D42CBB"/>
    <w:rsid w:val="00D45F90"/>
    <w:rsid w:val="00D50E6C"/>
    <w:rsid w:val="00D62FD6"/>
    <w:rsid w:val="00D66AA4"/>
    <w:rsid w:val="00D70759"/>
    <w:rsid w:val="00D726FE"/>
    <w:rsid w:val="00D7494B"/>
    <w:rsid w:val="00D74B06"/>
    <w:rsid w:val="00D85856"/>
    <w:rsid w:val="00D9093F"/>
    <w:rsid w:val="00D9263C"/>
    <w:rsid w:val="00DA2101"/>
    <w:rsid w:val="00DA3A6C"/>
    <w:rsid w:val="00DA6DDB"/>
    <w:rsid w:val="00DB7685"/>
    <w:rsid w:val="00DD2003"/>
    <w:rsid w:val="00DD4E75"/>
    <w:rsid w:val="00DF11B1"/>
    <w:rsid w:val="00DF2A87"/>
    <w:rsid w:val="00DF3BF6"/>
    <w:rsid w:val="00DF7812"/>
    <w:rsid w:val="00E01D85"/>
    <w:rsid w:val="00E10DF6"/>
    <w:rsid w:val="00E11CAC"/>
    <w:rsid w:val="00E15752"/>
    <w:rsid w:val="00E16703"/>
    <w:rsid w:val="00E231E9"/>
    <w:rsid w:val="00E34E68"/>
    <w:rsid w:val="00E43ECE"/>
    <w:rsid w:val="00E5290E"/>
    <w:rsid w:val="00E57971"/>
    <w:rsid w:val="00E62036"/>
    <w:rsid w:val="00E708A4"/>
    <w:rsid w:val="00E71F7F"/>
    <w:rsid w:val="00E76898"/>
    <w:rsid w:val="00E80FCE"/>
    <w:rsid w:val="00E82E91"/>
    <w:rsid w:val="00E90CBB"/>
    <w:rsid w:val="00E944B7"/>
    <w:rsid w:val="00EA11FC"/>
    <w:rsid w:val="00EB457E"/>
    <w:rsid w:val="00EC3857"/>
    <w:rsid w:val="00EC3A72"/>
    <w:rsid w:val="00EF3AC3"/>
    <w:rsid w:val="00F22D69"/>
    <w:rsid w:val="00F27624"/>
    <w:rsid w:val="00F311FB"/>
    <w:rsid w:val="00F320D4"/>
    <w:rsid w:val="00F33E8E"/>
    <w:rsid w:val="00F3700C"/>
    <w:rsid w:val="00F37C94"/>
    <w:rsid w:val="00F62176"/>
    <w:rsid w:val="00F66AE5"/>
    <w:rsid w:val="00F721B3"/>
    <w:rsid w:val="00F77B2D"/>
    <w:rsid w:val="00F824FF"/>
    <w:rsid w:val="00F97FD6"/>
    <w:rsid w:val="00FA35E2"/>
    <w:rsid w:val="00FA54BF"/>
    <w:rsid w:val="00FB45D9"/>
    <w:rsid w:val="00FB4C95"/>
    <w:rsid w:val="00FC3EA8"/>
    <w:rsid w:val="00FC4D43"/>
    <w:rsid w:val="00FD450A"/>
    <w:rsid w:val="00FD6DE5"/>
    <w:rsid w:val="00FD791A"/>
    <w:rsid w:val="00FE14F8"/>
    <w:rsid w:val="00FE184D"/>
    <w:rsid w:val="00FF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B5A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97B5A"/>
    <w:pPr>
      <w:keepNext/>
      <w:jc w:val="center"/>
      <w:outlineLvl w:val="0"/>
    </w:pPr>
    <w:rPr>
      <w:u w:val="single"/>
    </w:rPr>
  </w:style>
  <w:style w:type="paragraph" w:styleId="5">
    <w:name w:val="heading 5"/>
    <w:basedOn w:val="a"/>
    <w:next w:val="a"/>
    <w:link w:val="5Char"/>
    <w:uiPriority w:val="9"/>
    <w:qFormat/>
    <w:rsid w:val="001920D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700C"/>
    <w:rPr>
      <w:rFonts w:ascii="Tahoma" w:hAnsi="Tahoma" w:cs="Tahoma"/>
      <w:sz w:val="16"/>
      <w:szCs w:val="16"/>
    </w:rPr>
  </w:style>
  <w:style w:type="paragraph" w:styleId="a5">
    <w:name w:val="footnote text"/>
    <w:basedOn w:val="a"/>
    <w:semiHidden/>
    <w:rsid w:val="00EB457E"/>
    <w:rPr>
      <w:sz w:val="20"/>
      <w:szCs w:val="20"/>
    </w:rPr>
  </w:style>
  <w:style w:type="character" w:styleId="a6">
    <w:name w:val="footnote reference"/>
    <w:basedOn w:val="a0"/>
    <w:semiHidden/>
    <w:rsid w:val="00EB457E"/>
    <w:rPr>
      <w:vertAlign w:val="superscript"/>
    </w:rPr>
  </w:style>
  <w:style w:type="paragraph" w:styleId="a7">
    <w:name w:val="header"/>
    <w:basedOn w:val="a"/>
    <w:link w:val="Char"/>
    <w:uiPriority w:val="99"/>
    <w:rsid w:val="00EB457E"/>
    <w:pPr>
      <w:tabs>
        <w:tab w:val="center" w:pos="4153"/>
        <w:tab w:val="right" w:pos="8306"/>
      </w:tabs>
    </w:pPr>
  </w:style>
  <w:style w:type="character" w:styleId="a8">
    <w:name w:val="page number"/>
    <w:basedOn w:val="a0"/>
    <w:uiPriority w:val="5"/>
    <w:rsid w:val="00EB457E"/>
  </w:style>
  <w:style w:type="paragraph" w:styleId="a9">
    <w:name w:val="footer"/>
    <w:basedOn w:val="a"/>
    <w:rsid w:val="00EB457E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612F2C"/>
    <w:rPr>
      <w:color w:val="0000FF"/>
      <w:u w:val="single"/>
    </w:rPr>
  </w:style>
  <w:style w:type="character" w:customStyle="1" w:styleId="5Char">
    <w:name w:val="Επικεφαλίδα 5 Char"/>
    <w:basedOn w:val="a0"/>
    <w:link w:val="5"/>
    <w:uiPriority w:val="9"/>
    <w:rsid w:val="001920D4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2">
    <w:name w:val="Body Text 2"/>
    <w:basedOn w:val="a"/>
    <w:link w:val="2Char"/>
    <w:semiHidden/>
    <w:rsid w:val="001920D4"/>
    <w:pPr>
      <w:jc w:val="center"/>
    </w:pPr>
    <w:rPr>
      <w:rFonts w:ascii="Times" w:eastAsia="Times New Roman" w:hAnsi="Times"/>
      <w:b/>
      <w:sz w:val="20"/>
      <w:szCs w:val="20"/>
      <w:u w:val="single"/>
      <w:lang w:val="en-US" w:eastAsia="el-GR"/>
    </w:rPr>
  </w:style>
  <w:style w:type="character" w:customStyle="1" w:styleId="2Char">
    <w:name w:val="Σώμα κείμενου 2 Char"/>
    <w:basedOn w:val="a0"/>
    <w:link w:val="2"/>
    <w:semiHidden/>
    <w:rsid w:val="001920D4"/>
    <w:rPr>
      <w:rFonts w:ascii="Times" w:hAnsi="Times"/>
      <w:b/>
      <w:u w:val="single"/>
      <w:lang w:val="en-US"/>
    </w:rPr>
  </w:style>
  <w:style w:type="paragraph" w:customStyle="1" w:styleId="ecxmsonormal">
    <w:name w:val="ecxmsonormal"/>
    <w:basedOn w:val="a"/>
    <w:rsid w:val="00023B70"/>
    <w:pPr>
      <w:spacing w:after="324"/>
    </w:pPr>
    <w:rPr>
      <w:rFonts w:eastAsia="Times New Roman"/>
      <w:lang w:eastAsia="el-GR"/>
    </w:rPr>
  </w:style>
  <w:style w:type="character" w:customStyle="1" w:styleId="Char">
    <w:name w:val="Κεφαλίδα Char"/>
    <w:basedOn w:val="a0"/>
    <w:link w:val="a7"/>
    <w:uiPriority w:val="99"/>
    <w:rsid w:val="0094768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FE731-B1F8-4EF3-94DB-6F23A453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2019-04-16T08:00:00Z</cp:lastPrinted>
  <dcterms:created xsi:type="dcterms:W3CDTF">2019-04-12T06:27:00Z</dcterms:created>
  <dcterms:modified xsi:type="dcterms:W3CDTF">2019-04-16T08:01:00Z</dcterms:modified>
</cp:coreProperties>
</file>